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A8" w:rsidRDefault="003105A8" w:rsidP="003105A8">
      <w:pPr>
        <w:rPr>
          <w:rFonts w:ascii="TrebuchetMS,Bold" w:hAnsi="TrebuchetMS,Bold" w:cs="TrebuchetMS,Bold"/>
          <w:b/>
          <w:bCs/>
          <w:sz w:val="36"/>
          <w:szCs w:val="36"/>
        </w:rPr>
      </w:pPr>
      <w:r>
        <w:rPr>
          <w:rFonts w:ascii="TrebuchetMS,Bold" w:hAnsi="TrebuchetMS,Bold" w:cs="TrebuchetMS,Bold"/>
          <w:b/>
          <w:bCs/>
          <w:sz w:val="36"/>
          <w:szCs w:val="36"/>
        </w:rPr>
        <w:t xml:space="preserve">Guidance for speaking and listening: </w:t>
      </w:r>
    </w:p>
    <w:p w:rsidR="003105A8" w:rsidRDefault="003105A8" w:rsidP="003105A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36"/>
          <w:szCs w:val="36"/>
        </w:rPr>
      </w:pPr>
    </w:p>
    <w:p w:rsidR="003105A8" w:rsidRDefault="003105A8" w:rsidP="003105A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36"/>
          <w:szCs w:val="36"/>
        </w:rPr>
      </w:pPr>
      <w:r>
        <w:rPr>
          <w:rFonts w:ascii="TrebuchetMS,Bold" w:hAnsi="TrebuchetMS,Bold" w:cs="TrebuchetMS,Bold"/>
          <w:b/>
          <w:bCs/>
          <w:sz w:val="36"/>
          <w:szCs w:val="36"/>
        </w:rPr>
        <w:t>Edexcel Functional Skills qualification in English at</w:t>
      </w:r>
    </w:p>
    <w:p w:rsidR="003105A8" w:rsidRPr="001059A5" w:rsidRDefault="003105A8" w:rsidP="003105A8">
      <w:pPr>
        <w:rPr>
          <w:rFonts w:ascii="TrebuchetMS,Bold" w:hAnsi="TrebuchetMS,Bold" w:cs="TrebuchetMS,Bold"/>
          <w:b/>
          <w:bCs/>
          <w:color w:val="FF0000"/>
          <w:sz w:val="40"/>
          <w:szCs w:val="40"/>
        </w:rPr>
      </w:pPr>
      <w:r w:rsidRPr="001059A5">
        <w:rPr>
          <w:rFonts w:ascii="TrebuchetMS,Bold" w:hAnsi="TrebuchetMS,Bold" w:cs="TrebuchetMS,Bold"/>
          <w:b/>
          <w:bCs/>
          <w:color w:val="FF0000"/>
          <w:sz w:val="40"/>
          <w:szCs w:val="40"/>
        </w:rPr>
        <w:t>Level 1</w:t>
      </w:r>
    </w:p>
    <w:p w:rsidR="003105A8" w:rsidRDefault="003105A8" w:rsidP="003105A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6"/>
          <w:szCs w:val="26"/>
        </w:rPr>
      </w:pPr>
      <w:r>
        <w:rPr>
          <w:rFonts w:ascii="TrebuchetMS,Bold" w:hAnsi="TrebuchetMS,Bold" w:cs="TrebuchetMS,Bold"/>
          <w:b/>
          <w:bCs/>
          <w:sz w:val="26"/>
          <w:szCs w:val="26"/>
        </w:rPr>
        <w:t>Skill standards and coverage and range</w:t>
      </w:r>
      <w:bookmarkStart w:id="0" w:name="_GoBack"/>
      <w:bookmarkEnd w:id="0"/>
    </w:p>
    <w:p w:rsidR="003105A8" w:rsidRDefault="003105A8" w:rsidP="003105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105A8" w:rsidRPr="003105A8" w:rsidRDefault="003105A8" w:rsidP="00310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05A8">
        <w:rPr>
          <w:rFonts w:ascii="Arial" w:hAnsi="Arial" w:cs="Arial"/>
          <w:sz w:val="24"/>
          <w:szCs w:val="24"/>
        </w:rPr>
        <w:t>In order to pass this qualification, the evidenc</w:t>
      </w:r>
      <w:r>
        <w:rPr>
          <w:rFonts w:ascii="Arial" w:hAnsi="Arial" w:cs="Arial"/>
          <w:sz w:val="24"/>
          <w:szCs w:val="24"/>
        </w:rPr>
        <w:t xml:space="preserve">e that the learner presents for </w:t>
      </w:r>
      <w:r w:rsidRPr="003105A8">
        <w:rPr>
          <w:rFonts w:ascii="Arial" w:hAnsi="Arial" w:cs="Arial"/>
          <w:sz w:val="24"/>
          <w:szCs w:val="24"/>
        </w:rPr>
        <w:t xml:space="preserve">assessment needs to demonstrate that they can meet </w:t>
      </w:r>
      <w:r>
        <w:rPr>
          <w:rFonts w:ascii="Arial" w:hAnsi="Arial" w:cs="Arial"/>
          <w:sz w:val="24"/>
          <w:szCs w:val="24"/>
        </w:rPr>
        <w:t xml:space="preserve">all the skill standards for all </w:t>
      </w:r>
      <w:r w:rsidRPr="003105A8">
        <w:rPr>
          <w:rFonts w:ascii="Arial" w:hAnsi="Arial" w:cs="Arial"/>
          <w:sz w:val="24"/>
          <w:szCs w:val="24"/>
        </w:rPr>
        <w:t xml:space="preserve">the components of the qualification. The coverage and </w:t>
      </w:r>
      <w:r>
        <w:rPr>
          <w:rFonts w:ascii="Arial" w:hAnsi="Arial" w:cs="Arial"/>
          <w:sz w:val="24"/>
          <w:szCs w:val="24"/>
        </w:rPr>
        <w:t xml:space="preserve">range determine the </w:t>
      </w:r>
      <w:r w:rsidRPr="003105A8">
        <w:rPr>
          <w:rFonts w:ascii="Arial" w:hAnsi="Arial" w:cs="Arial"/>
          <w:sz w:val="24"/>
          <w:szCs w:val="24"/>
        </w:rPr>
        <w:t>standard required to achieve the qualification.</w:t>
      </w:r>
    </w:p>
    <w:p w:rsidR="003105A8" w:rsidRDefault="003105A8" w:rsidP="003105A8">
      <w:pPr>
        <w:rPr>
          <w:rFonts w:ascii="Verdana,Bold" w:hAnsi="Verdana,Bold" w:cs="Verdana,Bold"/>
          <w:b/>
          <w:bCs/>
          <w:sz w:val="20"/>
          <w:szCs w:val="20"/>
        </w:rPr>
      </w:pPr>
    </w:p>
    <w:p w:rsidR="003105A8" w:rsidRDefault="003105A8" w:rsidP="003105A8">
      <w:pPr>
        <w:rPr>
          <w:rFonts w:ascii="Arial" w:hAnsi="Arial" w:cs="Arial"/>
          <w:sz w:val="24"/>
          <w:szCs w:val="24"/>
        </w:rPr>
      </w:pPr>
      <w:r w:rsidRPr="003105A8">
        <w:rPr>
          <w:rFonts w:ascii="Arial" w:hAnsi="Arial" w:cs="Arial"/>
          <w:sz w:val="24"/>
          <w:szCs w:val="24"/>
        </w:rPr>
        <w:t>On completion of this qualification a learner should:</w:t>
      </w:r>
    </w:p>
    <w:p w:rsidR="008A5DBC" w:rsidRPr="003105A8" w:rsidRDefault="008A5DBC" w:rsidP="003105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05A8" w:rsidTr="003105A8">
        <w:tc>
          <w:tcPr>
            <w:tcW w:w="4508" w:type="dxa"/>
          </w:tcPr>
          <w:p w:rsidR="003105A8" w:rsidRPr="003105A8" w:rsidRDefault="003105A8" w:rsidP="00310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05A8">
              <w:rPr>
                <w:rFonts w:ascii="Arial" w:hAnsi="Arial" w:cs="Arial"/>
                <w:b/>
                <w:sz w:val="24"/>
                <w:szCs w:val="24"/>
              </w:rPr>
              <w:t>Skill standards</w:t>
            </w:r>
          </w:p>
        </w:tc>
        <w:tc>
          <w:tcPr>
            <w:tcW w:w="4508" w:type="dxa"/>
          </w:tcPr>
          <w:p w:rsidR="003105A8" w:rsidRPr="003105A8" w:rsidRDefault="003105A8" w:rsidP="00310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05A8">
              <w:rPr>
                <w:rFonts w:ascii="Arial" w:hAnsi="Arial" w:cs="Arial"/>
                <w:b/>
                <w:sz w:val="24"/>
                <w:szCs w:val="24"/>
              </w:rPr>
              <w:t>Coverage and range</w:t>
            </w:r>
          </w:p>
          <w:p w:rsidR="003105A8" w:rsidRDefault="003105A8" w:rsidP="00310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A8" w:rsidTr="003105A8">
        <w:tc>
          <w:tcPr>
            <w:tcW w:w="4508" w:type="dxa"/>
          </w:tcPr>
          <w:p w:rsidR="003105A8" w:rsidRPr="003105A8" w:rsidRDefault="003105A8" w:rsidP="003105A8">
            <w:pPr>
              <w:rPr>
                <w:rFonts w:ascii="Arial" w:hAnsi="Arial" w:cs="Arial"/>
                <w:sz w:val="24"/>
                <w:szCs w:val="24"/>
              </w:rPr>
            </w:pPr>
            <w:r w:rsidRPr="003105A8">
              <w:rPr>
                <w:rFonts w:ascii="Arial" w:hAnsi="Arial" w:cs="Arial"/>
                <w:sz w:val="24"/>
                <w:szCs w:val="24"/>
              </w:rPr>
              <w:t>1 Speaking, listening and communication</w:t>
            </w:r>
          </w:p>
          <w:p w:rsidR="003105A8" w:rsidRPr="003105A8" w:rsidRDefault="003105A8" w:rsidP="00310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5A8" w:rsidRPr="003105A8" w:rsidRDefault="003105A8" w:rsidP="00310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105A8">
              <w:rPr>
                <w:rFonts w:ascii="Arial" w:hAnsi="Arial" w:cs="Arial"/>
                <w:sz w:val="24"/>
                <w:szCs w:val="24"/>
              </w:rPr>
              <w:t xml:space="preserve">Take full part in </w:t>
            </w:r>
            <w:r w:rsidRPr="004E5971">
              <w:rPr>
                <w:rFonts w:ascii="Arial" w:hAnsi="Arial" w:cs="Arial"/>
                <w:b/>
                <w:sz w:val="28"/>
                <w:szCs w:val="28"/>
              </w:rPr>
              <w:t>formal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5A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4E5971">
              <w:rPr>
                <w:rFonts w:ascii="Arial" w:hAnsi="Arial" w:cs="Arial"/>
                <w:b/>
                <w:sz w:val="28"/>
                <w:szCs w:val="28"/>
              </w:rPr>
              <w:t xml:space="preserve">informal </w:t>
            </w:r>
            <w:r w:rsidRPr="003105A8">
              <w:rPr>
                <w:rFonts w:ascii="Arial" w:hAnsi="Arial" w:cs="Arial"/>
                <w:sz w:val="24"/>
                <w:szCs w:val="24"/>
              </w:rPr>
              <w:t>discussions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5A8">
              <w:rPr>
                <w:rFonts w:ascii="Arial" w:hAnsi="Arial" w:cs="Arial"/>
                <w:sz w:val="24"/>
                <w:szCs w:val="24"/>
              </w:rPr>
              <w:t>and exchanges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5A8">
              <w:rPr>
                <w:rFonts w:ascii="Arial" w:hAnsi="Arial" w:cs="Arial"/>
                <w:sz w:val="24"/>
                <w:szCs w:val="24"/>
              </w:rPr>
              <w:t>include unfamiliar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5A8">
              <w:rPr>
                <w:rFonts w:ascii="Arial" w:hAnsi="Arial" w:cs="Arial"/>
                <w:sz w:val="24"/>
                <w:szCs w:val="24"/>
              </w:rPr>
              <w:t>subjects</w:t>
            </w:r>
          </w:p>
        </w:tc>
        <w:tc>
          <w:tcPr>
            <w:tcW w:w="4508" w:type="dxa"/>
          </w:tcPr>
          <w:p w:rsidR="008A5DBC" w:rsidRP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5DBC">
              <w:rPr>
                <w:rFonts w:ascii="Arial" w:hAnsi="Arial" w:cs="Arial"/>
                <w:sz w:val="24"/>
                <w:szCs w:val="24"/>
              </w:rPr>
              <w:t>1.1 Make relevant and extended</w:t>
            </w:r>
          </w:p>
          <w:p w:rsidR="008A5DBC" w:rsidRP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contributions to discussions, allowing for and responding </w:t>
            </w:r>
            <w:r w:rsidRPr="008A5DBC">
              <w:rPr>
                <w:rFonts w:ascii="Arial" w:hAnsi="Arial" w:cs="Arial"/>
                <w:sz w:val="24"/>
                <w:szCs w:val="24"/>
              </w:rPr>
              <w:t>to others’ input</w:t>
            </w:r>
          </w:p>
          <w:p w:rsid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A5DBC" w:rsidRP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5DBC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2 Prepare for and contribute to the formal discussion of ideas </w:t>
            </w:r>
            <w:r w:rsidRPr="008A5DBC">
              <w:rPr>
                <w:rFonts w:ascii="Arial" w:hAnsi="Arial" w:cs="Arial"/>
                <w:sz w:val="24"/>
                <w:szCs w:val="24"/>
              </w:rPr>
              <w:t>and opinions</w:t>
            </w:r>
          </w:p>
          <w:p w:rsid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A5DBC" w:rsidRP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Make different kinds of </w:t>
            </w:r>
            <w:r w:rsidRPr="008A5DBC">
              <w:rPr>
                <w:rFonts w:ascii="Arial" w:hAnsi="Arial" w:cs="Arial"/>
                <w:sz w:val="24"/>
                <w:szCs w:val="24"/>
              </w:rPr>
              <w:t>contributions to discussions</w:t>
            </w:r>
          </w:p>
          <w:p w:rsid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05A8" w:rsidRP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5DBC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4 Present information/points of view clearly and in </w:t>
            </w:r>
            <w:r w:rsidRPr="008A5DBC">
              <w:rPr>
                <w:rFonts w:ascii="Arial" w:hAnsi="Arial" w:cs="Arial"/>
                <w:sz w:val="24"/>
                <w:szCs w:val="24"/>
              </w:rPr>
              <w:t>appropriate language</w:t>
            </w:r>
          </w:p>
        </w:tc>
      </w:tr>
      <w:tr w:rsidR="003105A8" w:rsidTr="003105A8">
        <w:tc>
          <w:tcPr>
            <w:tcW w:w="4508" w:type="dxa"/>
          </w:tcPr>
          <w:p w:rsidR="008A5DBC" w:rsidRDefault="008A5DBC" w:rsidP="00310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5A8" w:rsidRDefault="008A5DBC" w:rsidP="003105A8">
            <w:pPr>
              <w:rPr>
                <w:rFonts w:ascii="TrebuchetMS,Bold" w:hAnsi="TrebuchetMS,Bold" w:cs="TrebuchetMS,Bold"/>
                <w:b/>
                <w:bCs/>
                <w:sz w:val="36"/>
                <w:szCs w:val="36"/>
              </w:rPr>
            </w:pPr>
            <w:r w:rsidRPr="008A5DBC">
              <w:rPr>
                <w:rFonts w:ascii="Arial" w:hAnsi="Arial" w:cs="Arial"/>
                <w:sz w:val="24"/>
                <w:szCs w:val="24"/>
              </w:rPr>
              <w:t>Tasks/questions</w:t>
            </w:r>
          </w:p>
        </w:tc>
        <w:tc>
          <w:tcPr>
            <w:tcW w:w="4508" w:type="dxa"/>
          </w:tcPr>
          <w:p w:rsidR="008A5DBC" w:rsidRDefault="008A5DBC" w:rsidP="008A5DB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8A5DBC" w:rsidRP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Learners must complete the following two </w:t>
            </w:r>
            <w:r w:rsidRPr="008A5DBC">
              <w:rPr>
                <w:rFonts w:ascii="Arial" w:hAnsi="Arial" w:cs="Arial"/>
                <w:sz w:val="24"/>
                <w:szCs w:val="24"/>
              </w:rPr>
              <w:t>activities.</w:t>
            </w:r>
          </w:p>
          <w:p w:rsid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A5DBC" w:rsidRDefault="008A5DBC" w:rsidP="008A5D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5DBC">
              <w:rPr>
                <w:rFonts w:ascii="Arial" w:hAnsi="Arial" w:cs="Arial"/>
                <w:b/>
                <w:sz w:val="24"/>
                <w:szCs w:val="24"/>
              </w:rPr>
              <w:t>A formal discussion</w:t>
            </w:r>
            <w:r w:rsidRPr="008A5D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5DBC" w:rsidRDefault="008A5DBC" w:rsidP="008A5DB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A5DBC" w:rsidRPr="008A5DBC" w:rsidRDefault="008A5DBC" w:rsidP="008A5D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5DBC">
              <w:rPr>
                <w:rFonts w:ascii="Arial" w:hAnsi="Arial" w:cs="Arial"/>
                <w:b/>
                <w:sz w:val="24"/>
                <w:szCs w:val="24"/>
              </w:rPr>
              <w:t>An informal discussion.</w:t>
            </w:r>
          </w:p>
          <w:p w:rsid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05A8" w:rsidRPr="008A5DBC" w:rsidRDefault="008A5DBC" w:rsidP="008A5D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Learners must achieve all the </w:t>
            </w:r>
            <w:r w:rsidRPr="008A5DBC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sz w:val="24"/>
                <w:szCs w:val="24"/>
              </w:rPr>
              <w:t xml:space="preserve">1 criteria across the two activities at least </w:t>
            </w:r>
            <w:r w:rsidRPr="008A5DBC">
              <w:rPr>
                <w:rFonts w:ascii="Arial" w:hAnsi="Arial" w:cs="Arial"/>
                <w:sz w:val="24"/>
                <w:szCs w:val="24"/>
              </w:rPr>
              <w:t>once.</w:t>
            </w:r>
          </w:p>
        </w:tc>
      </w:tr>
    </w:tbl>
    <w:p w:rsidR="003105A8" w:rsidRDefault="003105A8" w:rsidP="003105A8">
      <w:pPr>
        <w:rPr>
          <w:rFonts w:ascii="TrebuchetMS,Bold" w:hAnsi="TrebuchetMS,Bold" w:cs="TrebuchetMS,Bold"/>
          <w:b/>
          <w:bCs/>
          <w:sz w:val="36"/>
          <w:szCs w:val="36"/>
        </w:rPr>
      </w:pPr>
    </w:p>
    <w:p w:rsidR="004E5971" w:rsidRDefault="004E5971" w:rsidP="003105A8">
      <w:pPr>
        <w:rPr>
          <w:rFonts w:ascii="TrebuchetMS,Bold" w:hAnsi="TrebuchetMS,Bold" w:cs="TrebuchetMS,Bold"/>
          <w:b/>
          <w:bCs/>
          <w:sz w:val="36"/>
          <w:szCs w:val="36"/>
        </w:rPr>
      </w:pPr>
      <w:r>
        <w:rPr>
          <w:rFonts w:ascii="TrebuchetMS,Bold" w:hAnsi="TrebuchetMS,Bold" w:cs="TrebuchetMS,Bold"/>
          <w:b/>
          <w:bCs/>
          <w:sz w:val="36"/>
          <w:szCs w:val="36"/>
        </w:rPr>
        <w:t>Please submit VIDEO Evidence of these. NO Tutors can take part in these</w:t>
      </w:r>
    </w:p>
    <w:p w:rsidR="004E5971" w:rsidRPr="003105A8" w:rsidRDefault="004E5971" w:rsidP="003105A8">
      <w:pPr>
        <w:rPr>
          <w:rFonts w:ascii="Arial" w:hAnsi="Arial" w:cs="Arial"/>
          <w:sz w:val="24"/>
          <w:szCs w:val="24"/>
        </w:rPr>
      </w:pPr>
    </w:p>
    <w:sectPr w:rsidR="004E5971" w:rsidRPr="00310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75A6"/>
    <w:multiLevelType w:val="hybridMultilevel"/>
    <w:tmpl w:val="BE98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1A3E"/>
    <w:multiLevelType w:val="hybridMultilevel"/>
    <w:tmpl w:val="EB907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C112B"/>
    <w:multiLevelType w:val="hybridMultilevel"/>
    <w:tmpl w:val="4EAC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A8"/>
    <w:rsid w:val="00026EC0"/>
    <w:rsid w:val="001059A5"/>
    <w:rsid w:val="003105A8"/>
    <w:rsid w:val="004E5971"/>
    <w:rsid w:val="00892FD8"/>
    <w:rsid w:val="008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FCD90-BC3B-4E4F-8271-DD404191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2</cp:revision>
  <dcterms:created xsi:type="dcterms:W3CDTF">2016-06-13T08:42:00Z</dcterms:created>
  <dcterms:modified xsi:type="dcterms:W3CDTF">2016-06-13T08:42:00Z</dcterms:modified>
</cp:coreProperties>
</file>